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both"/>
        <w:rPr>
          <w:rFonts w:eastAsia="Times New Roman" w:cstheme="minorHAnsi"/>
          <w:color w:val="333333"/>
          <w:sz w:val="24"/>
          <w:szCs w:val="24"/>
          <w:lang w:eastAsia="sk-SK"/>
        </w:rPr>
      </w:pPr>
      <w:r>
        <w:rPr>
          <w:rFonts w:cstheme="minorHAnsi"/>
          <w:b/>
          <w:bCs/>
          <w:sz w:val="24"/>
          <w:szCs w:val="24"/>
          <w:shd w:val="clear" w:color="auto" w:fill="FFFFFF"/>
        </w:rPr>
        <w:t xml:space="preserve">Tommy The Needle s.r.o., Čermeľské údolie 6, 040 01 Košice, IČO: 48 169 391, </w:t>
      </w:r>
      <w:r>
        <w:rPr>
          <w:rFonts w:cstheme="minorHAnsi"/>
          <w:b/>
          <w:bCs/>
          <w:sz w:val="24"/>
          <w:szCs w:val="24"/>
        </w:rPr>
        <w:t>zapísaná v obchodnom registri Okresného súdu Košice I, oddiel: Sro, vložka č. 37386/V</w:t>
      </w:r>
      <w:r>
        <w:rPr>
          <w:rFonts w:cstheme="minorHAnsi"/>
          <w:b/>
          <w:bCs/>
          <w:sz w:val="24"/>
          <w:szCs w:val="24"/>
          <w:shd w:val="clear" w:color="auto" w:fill="FFFFFF"/>
        </w:rPr>
        <w:t>,</w:t>
      </w:r>
      <w:r>
        <w:rPr>
          <w:rFonts w:cstheme="minorHAnsi"/>
          <w:sz w:val="24"/>
          <w:szCs w:val="24"/>
          <w:shd w:val="clear" w:color="auto" w:fill="FFFFFF"/>
        </w:rPr>
        <w:t xml:space="preserve"> </w:t>
      </w:r>
      <w:r>
        <w:rPr>
          <w:rFonts w:eastAsia="Times New Roman" w:cstheme="minorHAnsi"/>
          <w:color w:val="333333"/>
          <w:sz w:val="24"/>
          <w:szCs w:val="24"/>
          <w:lang w:eastAsia="sk-SK"/>
        </w:rPr>
        <w:t>Štatutárny orgán (konatelia): Bc. Tomáš Chalabala, Zuzana Chalabalová, Ing. Marek Chalabala (v ďalšom texte ako „predávajúci“)</w:t>
      </w:r>
    </w:p>
    <w:p>
      <w:pPr>
        <w:spacing w:before="100" w:beforeAutospacing="1" w:after="100" w:afterAutospacing="1" w:line="240" w:lineRule="auto"/>
        <w:jc w:val="both"/>
        <w:rPr>
          <w:rFonts w:eastAsia="Times New Roman" w:cstheme="minorHAnsi"/>
          <w:b/>
          <w:bCs/>
          <w:color w:val="333333"/>
          <w:sz w:val="24"/>
          <w:szCs w:val="24"/>
          <w:lang w:eastAsia="sk-SK"/>
        </w:rPr>
      </w:pPr>
      <w:r>
        <w:rPr>
          <w:rFonts w:eastAsia="Times New Roman" w:cstheme="minorHAnsi"/>
          <w:b/>
          <w:bCs/>
          <w:color w:val="333333"/>
          <w:sz w:val="24"/>
          <w:szCs w:val="24"/>
          <w:lang w:eastAsia="sk-SK"/>
        </w:rPr>
        <w:t>Kontaktná adresa </w:t>
      </w:r>
      <w:r>
        <w:rPr>
          <w:rFonts w:eastAsia="Times New Roman" w:cstheme="minorHAnsi"/>
          <w:color w:val="333333"/>
          <w:sz w:val="24"/>
          <w:szCs w:val="24"/>
          <w:lang w:eastAsia="sk-SK"/>
        </w:rPr>
        <w:t xml:space="preserve">(aj pre uplatnenie práva odstúpenia od zmluvy): </w:t>
      </w:r>
      <w:r>
        <w:rPr>
          <w:rFonts w:cstheme="minorHAnsi"/>
          <w:b/>
          <w:bCs/>
          <w:sz w:val="24"/>
          <w:szCs w:val="24"/>
          <w:shd w:val="clear" w:color="auto" w:fill="FFFFFF"/>
        </w:rPr>
        <w:t>Tommy The Needle s.r.o.</w:t>
      </w:r>
      <w:r>
        <w:rPr>
          <w:rFonts w:eastAsia="Times New Roman" w:cstheme="minorHAnsi"/>
          <w:b/>
          <w:bCs/>
          <w:sz w:val="24"/>
          <w:szCs w:val="24"/>
          <w:lang w:eastAsia="sk-SK"/>
        </w:rPr>
        <w:t>, Čermeľské údolie 6, 040 01 Košice, Slovenská republika.</w:t>
      </w:r>
    </w:p>
    <w:p>
      <w:pPr>
        <w:spacing w:before="100" w:beforeAutospacing="1" w:after="100" w:afterAutospacing="1" w:line="240" w:lineRule="auto"/>
        <w:jc w:val="both"/>
        <w:rPr>
          <w:rFonts w:hint="default" w:eastAsia="Times New Roman" w:cstheme="minorHAnsi"/>
          <w:color w:val="333333"/>
          <w:sz w:val="24"/>
          <w:szCs w:val="24"/>
          <w:lang w:val="en-US" w:eastAsia="sk-SK"/>
        </w:rPr>
      </w:pPr>
      <w:r>
        <w:rPr>
          <w:rFonts w:eastAsia="Times New Roman" w:cstheme="minorHAnsi"/>
          <w:b/>
          <w:bCs/>
          <w:color w:val="333333"/>
          <w:sz w:val="24"/>
          <w:szCs w:val="24"/>
          <w:lang w:eastAsia="sk-SK"/>
        </w:rPr>
        <w:t>Tel. kontakt:</w:t>
      </w:r>
      <w:r>
        <w:rPr>
          <w:rFonts w:eastAsia="Times New Roman" w:cstheme="minorHAnsi"/>
          <w:color w:val="333333"/>
          <w:sz w:val="24"/>
          <w:szCs w:val="24"/>
          <w:lang w:eastAsia="sk-SK"/>
        </w:rPr>
        <w:t> </w:t>
      </w:r>
      <w:r>
        <w:rPr>
          <w:rFonts w:hint="default" w:eastAsia="Times New Roman" w:cstheme="minorHAnsi"/>
          <w:color w:val="333333"/>
          <w:sz w:val="24"/>
          <w:szCs w:val="24"/>
          <w:lang w:val="en-US" w:eastAsia="sk-SK"/>
        </w:rPr>
        <w:t>+421 905 690 734</w:t>
      </w:r>
    </w:p>
    <w:p>
      <w:pPr>
        <w:spacing w:before="100" w:beforeAutospacing="1" w:after="100" w:afterAutospacing="1" w:line="240" w:lineRule="auto"/>
        <w:jc w:val="both"/>
        <w:rPr>
          <w:rFonts w:hint="default" w:eastAsia="Times New Roman" w:cstheme="minorHAnsi"/>
          <w:color w:val="333333"/>
          <w:sz w:val="24"/>
          <w:szCs w:val="24"/>
          <w:lang w:val="sk-SK" w:eastAsia="sk-SK"/>
        </w:rPr>
      </w:pPr>
      <w:r>
        <w:rPr>
          <w:rFonts w:eastAsia="Times New Roman" w:cstheme="minorHAnsi"/>
          <w:b/>
          <w:bCs/>
          <w:color w:val="333333"/>
          <w:sz w:val="24"/>
          <w:szCs w:val="24"/>
          <w:lang w:eastAsia="sk-SK"/>
        </w:rPr>
        <w:t>Email: </w:t>
      </w:r>
      <w:r>
        <w:rPr>
          <w:rFonts w:eastAsia="Times New Roman" w:cstheme="minorHAnsi"/>
          <w:color w:val="333333"/>
          <w:sz w:val="24"/>
          <w:szCs w:val="24"/>
          <w:lang w:eastAsia="sk-SK"/>
        </w:rPr>
        <w:t xml:space="preserve"> </w:t>
      </w:r>
      <w:r>
        <w:rPr>
          <w:rStyle w:val="6"/>
          <w:rFonts w:hint="default"/>
          <w:sz w:val="24"/>
          <w:szCs w:val="24"/>
          <w:lang w:val="sk-SK"/>
        </w:rPr>
        <w:t>tommyneedle@tommyneedle.s</w:t>
      </w:r>
      <w:bookmarkStart w:id="0" w:name="_GoBack"/>
      <w:bookmarkEnd w:id="0"/>
      <w:r>
        <w:rPr>
          <w:rStyle w:val="6"/>
          <w:rFonts w:hint="default"/>
          <w:sz w:val="24"/>
          <w:szCs w:val="24"/>
          <w:lang w:val="sk-SK"/>
        </w:rPr>
        <w:t>k</w:t>
      </w:r>
    </w:p>
    <w:p>
      <w:pPr>
        <w:spacing w:before="100" w:beforeAutospacing="1" w:after="100" w:afterAutospacing="1" w:line="240" w:lineRule="auto"/>
        <w:jc w:val="both"/>
        <w:rPr>
          <w:rFonts w:eastAsia="Times New Roman" w:cstheme="minorHAnsi"/>
          <w:color w:val="333333"/>
          <w:sz w:val="24"/>
          <w:szCs w:val="24"/>
          <w:lang w:eastAsia="sk-SK"/>
        </w:rPr>
      </w:pPr>
      <w:r>
        <w:rPr>
          <w:rFonts w:eastAsia="Times New Roman" w:cstheme="minorHAnsi"/>
          <w:b/>
          <w:bCs/>
          <w:color w:val="333333"/>
          <w:sz w:val="24"/>
          <w:szCs w:val="24"/>
          <w:lang w:eastAsia="sk-SK"/>
        </w:rPr>
        <w:t>Orgán dozoru</w:t>
      </w:r>
      <w:r>
        <w:rPr>
          <w:rFonts w:eastAsia="Times New Roman" w:cstheme="minorHAnsi"/>
          <w:color w:val="333333"/>
          <w:sz w:val="24"/>
          <w:szCs w:val="24"/>
          <w:lang w:eastAsia="sk-SK"/>
        </w:rPr>
        <w:t xml:space="preserve">: </w:t>
      </w:r>
      <w:r>
        <w:rPr>
          <w:rFonts w:cstheme="minorHAnsi"/>
          <w:sz w:val="24"/>
          <w:szCs w:val="24"/>
        </w:rPr>
        <w:t>Slovenská obchodná inšpekcia (SOI), Vrátna 3, P.O. BOX A-35, 040 65 Košice odbor výkonu dozoru</w:t>
      </w:r>
    </w:p>
    <w:p>
      <w:pPr>
        <w:spacing w:before="100" w:beforeAutospacing="1" w:after="100" w:afterAutospacing="1" w:line="240" w:lineRule="auto"/>
        <w:jc w:val="center"/>
        <w:rPr>
          <w:rFonts w:eastAsia="Times New Roman" w:cstheme="minorHAnsi"/>
          <w:color w:val="333333"/>
          <w:sz w:val="32"/>
          <w:szCs w:val="32"/>
          <w:lang w:eastAsia="sk-SK"/>
        </w:rPr>
      </w:pPr>
      <w:r>
        <w:rPr>
          <w:rFonts w:eastAsia="Times New Roman" w:cstheme="minorHAnsi"/>
          <w:b/>
          <w:bCs/>
          <w:color w:val="333333"/>
          <w:sz w:val="32"/>
          <w:szCs w:val="32"/>
          <w:lang w:eastAsia="sk-SK"/>
        </w:rPr>
        <w:t>REKLAMAČNÝ FORMULÁR</w:t>
      </w:r>
    </w:p>
    <w:p>
      <w:pPr>
        <w:spacing w:before="100" w:beforeAutospacing="1" w:after="100" w:afterAutospacing="1" w:line="240" w:lineRule="auto"/>
        <w:rPr>
          <w:rFonts w:eastAsia="Times New Roman" w:cstheme="minorHAnsi"/>
          <w:color w:val="333333"/>
          <w:sz w:val="24"/>
          <w:szCs w:val="24"/>
          <w:lang w:eastAsia="sk-SK"/>
        </w:rPr>
      </w:pPr>
      <w:r>
        <w:rPr>
          <w:rFonts w:eastAsia="Times New Roman" w:cstheme="minorHAnsi"/>
          <w:color w:val="333333"/>
          <w:sz w:val="24"/>
          <w:szCs w:val="24"/>
          <w:lang w:eastAsia="sk-SK"/>
        </w:rPr>
        <w:t> </w:t>
      </w:r>
      <w:r>
        <w:rPr>
          <w:rFonts w:eastAsia="Times New Roman" w:cstheme="minorHAnsi"/>
          <w:b/>
          <w:bCs/>
          <w:color w:val="333333"/>
          <w:sz w:val="24"/>
          <w:szCs w:val="24"/>
          <w:lang w:eastAsia="sk-SK"/>
        </w:rPr>
        <w:t>Údaje o kupujúcom</w:t>
      </w: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127"/>
        <w:gridCol w:w="5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Meno a priezvisko alebo názov spoločnosti</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Telefón</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E-mail</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č. účtu v tvare IBAN</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bl>
    <w:p>
      <w:pPr>
        <w:spacing w:before="100" w:beforeAutospacing="1" w:after="100" w:afterAutospacing="1" w:line="240" w:lineRule="auto"/>
        <w:rPr>
          <w:rFonts w:eastAsia="Times New Roman" w:cstheme="minorHAnsi"/>
          <w:color w:val="333333"/>
          <w:sz w:val="24"/>
          <w:szCs w:val="24"/>
          <w:lang w:eastAsia="sk-SK"/>
        </w:rPr>
      </w:pPr>
      <w:r>
        <w:rPr>
          <w:rFonts w:eastAsia="Times New Roman" w:cstheme="minorHAnsi"/>
          <w:color w:val="333333"/>
          <w:sz w:val="24"/>
          <w:szCs w:val="24"/>
          <w:lang w:eastAsia="sk-SK"/>
        </w:rPr>
        <w:t> </w:t>
      </w:r>
    </w:p>
    <w:p>
      <w:pPr>
        <w:spacing w:before="100" w:beforeAutospacing="1" w:after="100" w:afterAutospacing="1" w:line="240" w:lineRule="auto"/>
        <w:rPr>
          <w:rFonts w:eastAsia="Times New Roman" w:cstheme="minorHAnsi"/>
          <w:color w:val="333333"/>
          <w:sz w:val="24"/>
          <w:szCs w:val="24"/>
          <w:lang w:eastAsia="sk-SK"/>
        </w:rPr>
      </w:pPr>
      <w:r>
        <w:rPr>
          <w:rFonts w:eastAsia="Times New Roman" w:cstheme="minorHAnsi"/>
          <w:b/>
          <w:bCs/>
          <w:color w:val="333333"/>
          <w:sz w:val="24"/>
          <w:szCs w:val="24"/>
          <w:lang w:eastAsia="sk-SK"/>
        </w:rPr>
        <w:t>Údaje o reklamovanom výrobku</w:t>
      </w: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127"/>
        <w:gridCol w:w="5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Výrobca (značka)</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Druh tovaru</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Dátum predaja</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Číslo faktúry / č. dokladu</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718"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Popis poruchy / závady</w:t>
            </w:r>
          </w:p>
        </w:tc>
        <w:tc>
          <w:tcPr>
            <w:tcW w:w="3282"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bl>
    <w:p>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p>
    <w:p>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p>
    <w:p>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r>
        <w:rPr>
          <w:rFonts w:eastAsia="Times New Roman" w:cstheme="minorHAnsi"/>
          <w:b/>
          <w:bCs/>
          <w:color w:val="333333"/>
          <w:kern w:val="36"/>
          <w:sz w:val="32"/>
          <w:szCs w:val="32"/>
          <w:lang w:eastAsia="sk-SK"/>
        </w:rPr>
        <w:t>REKLAMAČNÝ PROTOKOL</w:t>
      </w:r>
    </w:p>
    <w:p>
      <w:pPr>
        <w:spacing w:before="100" w:beforeAutospacing="1" w:after="100" w:afterAutospacing="1" w:line="240" w:lineRule="auto"/>
        <w:jc w:val="center"/>
        <w:outlineLvl w:val="0"/>
        <w:rPr>
          <w:rFonts w:eastAsia="Times New Roman" w:cstheme="minorHAnsi"/>
          <w:b/>
          <w:bCs/>
          <w:color w:val="333333"/>
          <w:kern w:val="36"/>
          <w:sz w:val="24"/>
          <w:szCs w:val="24"/>
          <w:lang w:eastAsia="sk-SK"/>
        </w:rPr>
      </w:pPr>
      <w:r>
        <w:rPr>
          <w:rFonts w:eastAsia="Times New Roman" w:cstheme="minorHAnsi"/>
          <w:b/>
          <w:bCs/>
          <w:color w:val="333333"/>
          <w:kern w:val="36"/>
          <w:sz w:val="24"/>
          <w:szCs w:val="24"/>
          <w:lang w:eastAsia="sk-SK"/>
        </w:rPr>
        <w:t> </w:t>
      </w:r>
    </w:p>
    <w:tbl>
      <w:tblPr>
        <w:tblStyle w:val="4"/>
        <w:tblW w:w="1018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50"/>
        <w:gridCol w:w="2445"/>
        <w:gridCol w:w="2445"/>
        <w:gridCol w:w="24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Dátum prijatia reklamácie</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Dátum vybavenia reklamácie</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vMerge w:val="restart"/>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Riešenie reklamácie</w:t>
            </w: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Výmena tovaru</w:t>
            </w: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Vrátenie kúpnej ceny</w:t>
            </w: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Neuznaná reklamácia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eastAsia="Times New Roman" w:cstheme="minorHAnsi"/>
                <w:sz w:val="24"/>
                <w:szCs w:val="24"/>
                <w:lang w:eastAsia="sk-SK"/>
              </w:rPr>
            </w:pP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w:t>
            </w: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w:t>
            </w:r>
          </w:p>
        </w:tc>
        <w:tc>
          <w:tcPr>
            <w:tcW w:w="2445"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jc w:val="center"/>
              <w:rPr>
                <w:rFonts w:eastAsia="Times New Roman" w:cstheme="minorHAnsi"/>
                <w:sz w:val="24"/>
                <w:szCs w:val="24"/>
                <w:lang w:eastAsia="sk-SK"/>
              </w:rPr>
            </w:pPr>
            <w:r>
              <w:rPr>
                <w:rFonts w:eastAsia="Times New Roman" w:cstheme="minorHAnsi"/>
                <w:sz w:val="24"/>
                <w:szCs w:val="24"/>
                <w:lang w:eastAsia="sk-SK"/>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Výmena tovaru za</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Vrátenie kúpnej ceny tovaru na účet v tvare IBAN alebo poštovou poukážkou na adresu:</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Dôvod neuznania reklamácie</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Miesto a kontakt možného odborného posúdenia v prípade zamietnutia reklamácie uplatnenej po 12 mesiacoch</w:t>
            </w:r>
          </w:p>
        </w:tc>
        <w:tc>
          <w:tcPr>
            <w:tcW w:w="7335" w:type="dxa"/>
            <w:gridSpan w:val="3"/>
            <w:tcBorders>
              <w:top w:val="outset" w:color="auto" w:sz="6" w:space="0"/>
              <w:left w:val="outset" w:color="auto" w:sz="6" w:space="0"/>
              <w:bottom w:val="outset" w:color="auto" w:sz="6" w:space="0"/>
              <w:right w:val="outset" w:color="auto" w:sz="6" w:space="0"/>
            </w:tcBorders>
          </w:tcPr>
          <w:p>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 </w:t>
            </w:r>
          </w:p>
        </w:tc>
      </w:tr>
    </w:tbl>
    <w:p>
      <w:pPr>
        <w:pStyle w:val="13"/>
        <w:numPr>
          <w:ilvl w:val="0"/>
          <w:numId w:val="1"/>
        </w:numPr>
        <w:spacing w:before="100" w:beforeAutospacing="1" w:after="100" w:afterAutospacing="1" w:line="240" w:lineRule="auto"/>
        <w:rPr>
          <w:rFonts w:eastAsia="Times New Roman" w:cstheme="minorHAnsi"/>
          <w:color w:val="333333"/>
          <w:sz w:val="24"/>
          <w:szCs w:val="24"/>
          <w:lang w:eastAsia="sk-SK"/>
        </w:rPr>
      </w:pPr>
      <w:r>
        <w:rPr>
          <w:rFonts w:eastAsia="Times New Roman" w:cstheme="minorHAnsi"/>
          <w:color w:val="333333"/>
          <w:sz w:val="24"/>
          <w:szCs w:val="24"/>
          <w:lang w:eastAsia="sk-SK"/>
        </w:rPr>
        <w:t>Ak spotrebiteľ uplatnil reklamáciu počas prvých 12 mesiacov od kúpy, predávajúci môže vybaviť reklamáciu zamietnutím len na základe odborného posúdenia; bez ohľadu na jeho výsledok všetky náklady znáša predávajúci.</w:t>
      </w:r>
    </w:p>
    <w:p>
      <w:pPr>
        <w:pStyle w:val="13"/>
        <w:numPr>
          <w:ilvl w:val="0"/>
          <w:numId w:val="1"/>
        </w:numPr>
        <w:spacing w:before="100" w:beforeAutospacing="1" w:after="100" w:afterAutospacing="1" w:line="240" w:lineRule="auto"/>
        <w:jc w:val="both"/>
        <w:rPr>
          <w:rFonts w:eastAsia="Times New Roman" w:cstheme="minorHAnsi"/>
          <w:color w:val="333333"/>
          <w:sz w:val="24"/>
          <w:szCs w:val="24"/>
          <w:lang w:eastAsia="sk-SK"/>
        </w:rPr>
      </w:pPr>
      <w:r>
        <w:rPr>
          <w:rFonts w:eastAsia="Times New Roman" w:cstheme="minorHAnsi"/>
          <w:color w:val="333333"/>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pPr>
        <w:spacing w:after="0" w:line="240" w:lineRule="auto"/>
        <w:jc w:val="center"/>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br w:type="textWrapping"/>
      </w:r>
    </w:p>
    <w:p>
      <w:pPr>
        <w:spacing w:after="0" w:line="240" w:lineRule="auto"/>
        <w:rPr>
          <w:rFonts w:eastAsia="Times New Roman" w:cstheme="minorHAnsi"/>
          <w:b/>
          <w:bCs/>
          <w:color w:val="333333"/>
          <w:sz w:val="24"/>
          <w:szCs w:val="24"/>
          <w:lang w:eastAsia="sk-SK"/>
        </w:rPr>
      </w:pPr>
      <w:r>
        <w:rPr>
          <w:rFonts w:eastAsia="Times New Roman" w:cstheme="minorHAnsi"/>
          <w:b/>
          <w:bCs/>
          <w:color w:val="333333"/>
          <w:sz w:val="24"/>
          <w:szCs w:val="24"/>
          <w:lang w:eastAsia="sk-SK"/>
        </w:rPr>
        <w:t>Dátum</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Dátum</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 xml:space="preserve"> </w:t>
      </w:r>
    </w:p>
    <w:p>
      <w:pPr>
        <w:spacing w:after="0" w:line="240" w:lineRule="auto"/>
        <w:rPr>
          <w:rFonts w:eastAsia="Times New Roman" w:cstheme="minorHAnsi"/>
          <w:b/>
          <w:bCs/>
          <w:color w:val="333333"/>
          <w:sz w:val="24"/>
          <w:szCs w:val="24"/>
          <w:u w:val="single"/>
          <w:lang w:eastAsia="sk-SK"/>
        </w:rPr>
      </w:pPr>
      <w:r>
        <w:rPr>
          <w:rFonts w:eastAsia="Times New Roman" w:cstheme="minorHAnsi"/>
          <w:b/>
          <w:bCs/>
          <w:color w:val="333333"/>
          <w:sz w:val="24"/>
          <w:szCs w:val="24"/>
          <w:u w:val="single"/>
          <w:lang w:eastAsia="sk-SK"/>
        </w:rPr>
        <w:t>podpis kupujúceho:</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podpis predávajúceho:</w:t>
      </w:r>
    </w:p>
    <w:p>
      <w:pPr>
        <w:spacing w:after="0" w:line="240" w:lineRule="auto"/>
        <w:rPr>
          <w:rFonts w:eastAsia="Times New Roman" w:cstheme="minorHAnsi"/>
          <w:b/>
          <w:bCs/>
          <w:color w:val="333333"/>
          <w:sz w:val="24"/>
          <w:szCs w:val="24"/>
          <w:u w:val="single"/>
          <w:lang w:eastAsia="sk-SK"/>
        </w:rPr>
      </w:pPr>
    </w:p>
    <w:p>
      <w:pPr>
        <w:spacing w:after="0" w:line="240" w:lineRule="auto"/>
        <w:rPr>
          <w:rFonts w:eastAsia="Times New Roman" w:cstheme="minorHAnsi"/>
          <w:b/>
          <w:bCs/>
          <w:color w:val="333333"/>
          <w:sz w:val="24"/>
          <w:szCs w:val="24"/>
          <w:u w:val="single"/>
          <w:lang w:eastAsia="sk-SK"/>
        </w:rPr>
      </w:pPr>
    </w:p>
    <w:p>
      <w:pPr>
        <w:spacing w:after="0" w:line="240" w:lineRule="auto"/>
        <w:rPr>
          <w:rFonts w:eastAsia="Times New Roman" w:cstheme="minorHAnsi"/>
          <w:b/>
          <w:bCs/>
          <w:color w:val="333333"/>
          <w:sz w:val="24"/>
          <w:szCs w:val="24"/>
          <w:u w:val="single"/>
          <w:lang w:eastAsia="sk-SK"/>
        </w:rPr>
      </w:pPr>
    </w:p>
    <w:p>
      <w:pPr>
        <w:spacing w:after="0" w:line="240" w:lineRule="auto"/>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t>.....................................</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w:t>
      </w:r>
    </w:p>
    <w:p>
      <w:pPr>
        <w:rPr>
          <w:rFonts w:cstheme="minorHAnsi"/>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C24E76"/>
    <w:multiLevelType w:val="multilevel"/>
    <w:tmpl w:val="51C24E76"/>
    <w:lvl w:ilvl="0" w:tentative="0">
      <w:start w:val="7"/>
      <w:numFmt w:val="bullet"/>
      <w:lvlText w:val="-"/>
      <w:lvlJc w:val="left"/>
      <w:pPr>
        <w:ind w:left="720" w:hanging="360"/>
      </w:pPr>
      <w:rPr>
        <w:rFonts w:hint="default" w:ascii="Calibri" w:hAnsi="Calibri" w:eastAsia="Times New Roman"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F"/>
    <w:rsid w:val="001071A4"/>
    <w:rsid w:val="002505EF"/>
    <w:rsid w:val="0026159F"/>
    <w:rsid w:val="004F0568"/>
    <w:rsid w:val="005C698D"/>
    <w:rsid w:val="0062308F"/>
    <w:rsid w:val="006E0017"/>
    <w:rsid w:val="0086246F"/>
    <w:rsid w:val="009575B1"/>
    <w:rsid w:val="00A34C85"/>
    <w:rsid w:val="00B668B5"/>
    <w:rsid w:val="00BF32F0"/>
    <w:rsid w:val="00C37CB3"/>
    <w:rsid w:val="00D51A13"/>
    <w:rsid w:val="00D570C3"/>
    <w:rsid w:val="00F24996"/>
    <w:rsid w:val="00F75C91"/>
    <w:rsid w:val="00FC5EC8"/>
    <w:rsid w:val="27BC138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sk-SK"/>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uiPriority w:val="99"/>
    <w:rPr>
      <w:sz w:val="16"/>
      <w:szCs w:val="16"/>
    </w:rPr>
  </w:style>
  <w:style w:type="paragraph" w:styleId="7">
    <w:name w:val="annotation text"/>
    <w:basedOn w:val="1"/>
    <w:link w:val="15"/>
    <w:semiHidden/>
    <w:unhideWhenUsed/>
    <w:uiPriority w:val="99"/>
    <w:pPr>
      <w:spacing w:line="240" w:lineRule="auto"/>
    </w:pPr>
    <w:rPr>
      <w:sz w:val="20"/>
      <w:szCs w:val="20"/>
    </w:rPr>
  </w:style>
  <w:style w:type="paragraph" w:styleId="8">
    <w:name w:val="annotation subject"/>
    <w:basedOn w:val="7"/>
    <w:next w:val="7"/>
    <w:link w:val="16"/>
    <w:semiHidden/>
    <w:unhideWhenUsed/>
    <w:uiPriority w:val="99"/>
    <w:rPr>
      <w:b/>
      <w:bCs/>
    </w:rPr>
  </w:style>
  <w:style w:type="character" w:styleId="9">
    <w:name w:val="Hyperlink"/>
    <w:basedOn w:val="3"/>
    <w:semiHidden/>
    <w:unhideWhenUsed/>
    <w:uiPriority w:val="99"/>
    <w:rPr>
      <w:color w:val="0000FF"/>
      <w:u w:val="single"/>
    </w:rPr>
  </w:style>
  <w:style w:type="paragraph" w:styleId="10">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11">
    <w:name w:val="Strong"/>
    <w:basedOn w:val="3"/>
    <w:qFormat/>
    <w:uiPriority w:val="22"/>
    <w:rPr>
      <w:b/>
      <w:bCs/>
    </w:rPr>
  </w:style>
  <w:style w:type="character" w:customStyle="1" w:styleId="12">
    <w:name w:val="Nadpis 1 Char"/>
    <w:basedOn w:val="3"/>
    <w:link w:val="2"/>
    <w:qFormat/>
    <w:uiPriority w:val="9"/>
    <w:rPr>
      <w:rFonts w:ascii="Times New Roman" w:hAnsi="Times New Roman" w:eastAsia="Times New Roman" w:cs="Times New Roman"/>
      <w:b/>
      <w:bCs/>
      <w:kern w:val="36"/>
      <w:sz w:val="48"/>
      <w:szCs w:val="48"/>
      <w:lang w:eastAsia="sk-SK"/>
    </w:rPr>
  </w:style>
  <w:style w:type="paragraph" w:styleId="13">
    <w:name w:val="List Paragraph"/>
    <w:basedOn w:val="1"/>
    <w:qFormat/>
    <w:uiPriority w:val="34"/>
    <w:pPr>
      <w:ind w:left="720"/>
      <w:contextualSpacing/>
    </w:pPr>
  </w:style>
  <w:style w:type="character" w:customStyle="1" w:styleId="14">
    <w:name w:val="Text bubliny Char"/>
    <w:basedOn w:val="3"/>
    <w:link w:val="5"/>
    <w:semiHidden/>
    <w:uiPriority w:val="99"/>
    <w:rPr>
      <w:rFonts w:ascii="Segoe UI" w:hAnsi="Segoe UI" w:cs="Segoe UI"/>
      <w:sz w:val="18"/>
      <w:szCs w:val="18"/>
    </w:rPr>
  </w:style>
  <w:style w:type="character" w:customStyle="1" w:styleId="15">
    <w:name w:val="Text komentára Char"/>
    <w:basedOn w:val="3"/>
    <w:link w:val="7"/>
    <w:semiHidden/>
    <w:uiPriority w:val="99"/>
    <w:rPr>
      <w:sz w:val="20"/>
      <w:szCs w:val="20"/>
    </w:rPr>
  </w:style>
  <w:style w:type="character" w:customStyle="1" w:styleId="16">
    <w:name w:val="Predmet komentára Char"/>
    <w:basedOn w:val="15"/>
    <w:link w:val="8"/>
    <w:semiHidden/>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341</Words>
  <Characters>1946</Characters>
  <Lines>16</Lines>
  <Paragraphs>4</Paragraphs>
  <TotalTime>65</TotalTime>
  <ScaleCrop>false</ScaleCrop>
  <LinksUpToDate>false</LinksUpToDate>
  <CharactersWithSpaces>2283</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2020-05-03T23:40:00Z</dcterms:created>
  <dc:creator>Michal Rybos</dc:creator>
  <cp:lastModifiedBy>Tomáš Chalabala</cp:lastModifiedBy>
  <dcterms:modified xsi:type="dcterms:W3CDTF">2022-01-17T15:49:53Z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52B5098E589147C88EAF2220FE3926F9</vt:lpwstr>
  </property>
</Properties>
</file>